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2F" w:rsidRDefault="004B482F" w:rsidP="004B482F">
      <w:pPr>
        <w:pStyle w:val="a6"/>
        <w:spacing w:before="0" w:beforeAutospacing="0" w:after="0" w:afterAutospacing="0" w:line="520" w:lineRule="exact"/>
        <w:jc w:val="both"/>
        <w:rPr>
          <w:rFonts w:ascii="微软雅黑" w:eastAsia="微软雅黑" w:hAnsi="微软雅黑"/>
          <w:sz w:val="32"/>
          <w:szCs w:val="32"/>
        </w:rPr>
      </w:pPr>
      <w:r>
        <w:rPr>
          <w:rFonts w:ascii="黑体" w:eastAsia="黑体" w:hAnsi="黑体" w:hint="eastAsia"/>
          <w:sz w:val="32"/>
          <w:szCs w:val="32"/>
        </w:rPr>
        <w:t>附件5</w:t>
      </w:r>
    </w:p>
    <w:p w:rsidR="004B482F" w:rsidRDefault="004B482F" w:rsidP="004B482F">
      <w:pPr>
        <w:pStyle w:val="a6"/>
        <w:spacing w:before="0" w:beforeAutospacing="0" w:after="0" w:afterAutospacing="0" w:line="52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包头市食品小作坊整治提升验收评估表</w:t>
      </w:r>
      <w:bookmarkEnd w:id="0"/>
    </w:p>
    <w:tbl>
      <w:tblPr>
        <w:tblStyle w:val="TableGrid"/>
        <w:tblW w:w="12894" w:type="dxa"/>
        <w:tblInd w:w="34" w:type="dxa"/>
        <w:tblCellMar>
          <w:top w:w="33" w:type="dxa"/>
          <w:left w:w="108" w:type="dxa"/>
          <w:right w:w="105" w:type="dxa"/>
        </w:tblCellMar>
        <w:tblLook w:val="04A0" w:firstRow="1" w:lastRow="0" w:firstColumn="1" w:lastColumn="0" w:noHBand="0" w:noVBand="1"/>
      </w:tblPr>
      <w:tblGrid>
        <w:gridCol w:w="1672"/>
        <w:gridCol w:w="7814"/>
        <w:gridCol w:w="1479"/>
        <w:gridCol w:w="240"/>
        <w:gridCol w:w="1689"/>
      </w:tblGrid>
      <w:tr w:rsidR="004B482F" w:rsidTr="005E37C8">
        <w:trPr>
          <w:trHeight w:val="438"/>
        </w:trPr>
        <w:tc>
          <w:tcPr>
            <w:tcW w:w="1672"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right="3"/>
              <w:jc w:val="center"/>
            </w:pPr>
            <w:r>
              <w:rPr>
                <w:sz w:val="21"/>
              </w:rPr>
              <w:t>内容</w:t>
            </w:r>
          </w:p>
        </w:tc>
        <w:tc>
          <w:tcPr>
            <w:tcW w:w="7814"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right="2"/>
              <w:jc w:val="center"/>
            </w:pPr>
            <w:r>
              <w:rPr>
                <w:sz w:val="21"/>
              </w:rPr>
              <w:t>验收项目</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211"/>
            </w:pPr>
            <w:r>
              <w:rPr>
                <w:sz w:val="21"/>
              </w:rPr>
              <w:t>评判结论</w:t>
            </w:r>
          </w:p>
        </w:tc>
        <w:tc>
          <w:tcPr>
            <w:tcW w:w="1929" w:type="dxa"/>
            <w:gridSpan w:val="2"/>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16"/>
            </w:pPr>
            <w:r>
              <w:rPr>
                <w:sz w:val="21"/>
              </w:rPr>
              <w:t>验收具体情况记录</w:t>
            </w:r>
          </w:p>
        </w:tc>
      </w:tr>
      <w:tr w:rsidR="004B482F" w:rsidTr="005E37C8">
        <w:trPr>
          <w:trHeight w:val="105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98"/>
            </w:pPr>
            <w:r>
              <w:rPr>
                <w:sz w:val="21"/>
              </w:rPr>
              <w:t>加工场所要求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right="5"/>
            </w:pPr>
            <w:r>
              <w:rPr>
                <w:rFonts w:eastAsia="Times New Roman"/>
                <w:sz w:val="21"/>
              </w:rPr>
              <w:t>1</w:t>
            </w:r>
            <w:r>
              <w:rPr>
                <w:sz w:val="21"/>
              </w:rPr>
              <w:t>．生产场所周围卫生环境可控，应与有毒、有害场所以及其他污染源保持规定的距离，保证不受污染源污染。生产加工区和存储场所必须分别独立设置，具备与生产加工食品品种、数量相适应的设备设施，加工场所布局应符合相应的生产加工流程要求，生食区与熟食区，原辅料和成品的存放场所应分开，避免交叉污染。</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2</w:t>
            </w:r>
            <w:r>
              <w:rPr>
                <w:sz w:val="21"/>
              </w:rPr>
              <w:t>．加工场所地面应采用环氧树脂地坪漆、瓷砖、大理石等方式铺装。</w:t>
            </w:r>
            <w:proofErr w:type="gramStart"/>
            <w:r>
              <w:rPr>
                <w:sz w:val="21"/>
              </w:rPr>
              <w:t>墙壁全墙通铺</w:t>
            </w:r>
            <w:proofErr w:type="gramEnd"/>
            <w:r>
              <w:rPr>
                <w:sz w:val="21"/>
              </w:rPr>
              <w:t>瓷砖、墙体扣板或洁净板等，且平整，防止污垢积存，便于清洗。</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3</w:t>
            </w:r>
            <w:r>
              <w:rPr>
                <w:sz w:val="21"/>
              </w:rPr>
              <w:t>．加工场所顶部应有吊顶、窗户内窗台防漏雨，防止灰尘积累、碎片脱落，并且容易清洁。</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4</w:t>
            </w:r>
            <w:r>
              <w:rPr>
                <w:sz w:val="21"/>
              </w:rPr>
              <w:t>．生产场所应清洁、干净、通风，不应有积水、泥泞、废弃物等易造成食品污染的因素。</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pPr>
            <w:r>
              <w:rPr>
                <w:rFonts w:eastAsia="Times New Roman"/>
                <w:sz w:val="21"/>
              </w:rPr>
              <w:t>5</w:t>
            </w:r>
            <w:r>
              <w:rPr>
                <w:sz w:val="21"/>
              </w:rPr>
              <w:t>．加工场所与生活区应采取有效隔离措施，保持规定距离，防止污染食品。</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6</w:t>
            </w:r>
            <w:r>
              <w:rPr>
                <w:sz w:val="21"/>
              </w:rPr>
              <w:t>．应对厕所等污染源采取有效隔离措施，保持规定距离，防止污染食品。加工场所应与售卖区域隔开，减少交叉污染。</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79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98"/>
            </w:pPr>
            <w:r>
              <w:rPr>
                <w:sz w:val="21"/>
              </w:rPr>
              <w:t>设施设备要求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right="5"/>
            </w:pPr>
            <w:r>
              <w:rPr>
                <w:rFonts w:eastAsia="Times New Roman"/>
                <w:sz w:val="21"/>
              </w:rPr>
              <w:t>7</w:t>
            </w:r>
            <w:r>
              <w:rPr>
                <w:sz w:val="21"/>
              </w:rPr>
              <w:t>．应具备生产需要的供水设施，满足供水安全，应具备满足生产需要的污水排放管线和设施，排水良好。生产用水应符合生活饮用水标准的要求。与食品接触的冰或水蒸气等应采用生活饮用水制成。</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8</w:t>
            </w:r>
            <w:r>
              <w:rPr>
                <w:sz w:val="21"/>
              </w:rPr>
              <w:t>．在生产加工区域入口处应设必要的洗手设备，并配备酒精喷雾或干手器。应根据</w:t>
            </w:r>
            <w:r>
              <w:rPr>
                <w:sz w:val="21"/>
              </w:rPr>
              <w:lastRenderedPageBreak/>
              <w:t>生产需要设置紫外灯等消毒杀菌设施。</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pPr>
            <w:r>
              <w:rPr>
                <w:sz w:val="21"/>
              </w:rPr>
              <w:lastRenderedPageBreak/>
              <w:t xml:space="preserve">□ </w:t>
            </w:r>
            <w:r>
              <w:rPr>
                <w:sz w:val="21"/>
              </w:rPr>
              <w:t>符合</w:t>
            </w:r>
          </w:p>
          <w:p w:rsidR="004B482F" w:rsidRDefault="004B482F" w:rsidP="005E37C8">
            <w:pPr>
              <w:spacing w:line="259" w:lineRule="auto"/>
            </w:pPr>
            <w:r>
              <w:rPr>
                <w:sz w:val="21"/>
              </w:rPr>
              <w:lastRenderedPageBreak/>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9</w:t>
            </w:r>
            <w:r>
              <w:rPr>
                <w:sz w:val="21"/>
              </w:rPr>
              <w:t>．清洗剂、消毒剂、杀虫剂等应单独存放，并且明确标识。加工设备、接触食品的器具应选用食品用清洁剂清洗。</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rPr>
          <w:trHeight w:val="789"/>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10</w:t>
            </w:r>
            <w:r>
              <w:rPr>
                <w:sz w:val="21"/>
              </w:rPr>
              <w:t>．食品添加剂应有单独的保存设施，</w:t>
            </w:r>
            <w:r>
              <w:rPr>
                <w:sz w:val="21"/>
              </w:rPr>
              <w:t xml:space="preserve"> </w:t>
            </w:r>
            <w:r>
              <w:rPr>
                <w:sz w:val="21"/>
              </w:rPr>
              <w:t>并单独存放。食品添加剂的使用应符合相应的标准和有关规定，并对用途、用量进行公示。食品添加剂的称量应使用</w:t>
            </w:r>
            <w:proofErr w:type="gramStart"/>
            <w:r>
              <w:rPr>
                <w:sz w:val="21"/>
              </w:rPr>
              <w:t>天平或秤等</w:t>
            </w:r>
            <w:proofErr w:type="gramEnd"/>
            <w:r>
              <w:rPr>
                <w:sz w:val="21"/>
              </w:rPr>
              <w:t>称量工具。</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98"/>
            </w:pPr>
            <w:r>
              <w:rPr>
                <w:sz w:val="21"/>
              </w:rPr>
              <w:t>设施设备要求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11</w:t>
            </w:r>
            <w:r>
              <w:rPr>
                <w:sz w:val="21"/>
              </w:rPr>
              <w:t>．加工场所及库房应有良好的防鼠、蚊、蝇、昆虫等设施，不得使用化学方式进行捕杀。</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12</w:t>
            </w:r>
            <w:r>
              <w:rPr>
                <w:sz w:val="21"/>
              </w:rPr>
              <w:t>．加工场所及库房应具备满足食品加工操作需要的通风、照明设施，应遵照先进先出原则对库存合理周转。</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113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12" w:line="273" w:lineRule="auto"/>
            </w:pPr>
            <w:r>
              <w:rPr>
                <w:rFonts w:eastAsia="Times New Roman"/>
                <w:sz w:val="21"/>
              </w:rPr>
              <w:t>13</w:t>
            </w:r>
            <w:r>
              <w:rPr>
                <w:sz w:val="21"/>
              </w:rPr>
              <w:t>．原辅料贮存时，应根据贮存要求采取相应措施确保原辅料的质量安全。根据食品原料和产品保存需要配备必要的冷藏、冷冻设施。应采取有效措施使原辅料、半成品与成品有效分离，并确保与食品接触的设备、工具等表面清洁，防止交叉污染。</w:t>
            </w:r>
          </w:p>
          <w:p w:rsidR="004B482F" w:rsidRDefault="004B482F" w:rsidP="005E37C8">
            <w:pPr>
              <w:spacing w:line="259" w:lineRule="auto"/>
            </w:pPr>
            <w:r>
              <w:rPr>
                <w:sz w:val="21"/>
              </w:rPr>
              <w:t>生产中涉及生、熟料的工具应分开使用。</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4"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14</w:t>
            </w:r>
            <w:r>
              <w:rPr>
                <w:sz w:val="21"/>
              </w:rPr>
              <w:t>．应具备与生产相适应的设备和器具，所选用的食品加工设备和器具应便于清洗和消毒。</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1131"/>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15</w:t>
            </w:r>
            <w:r>
              <w:rPr>
                <w:sz w:val="21"/>
              </w:rPr>
              <w:t>．原辅料的盛装容器应保持清洁，原辅料在使用前，应经过检查，确保原料干净卫生，适合加工要求。直接接触食品的生产设备、器具应采用无毒、无害、耐腐蚀、不易生锈、不易于微生物滋生和符合卫生要求的材料制造，如：不锈钢制品、食品级塑料制品等。</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113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jc w:val="center"/>
            </w:pPr>
            <w:r>
              <w:rPr>
                <w:sz w:val="21"/>
              </w:rPr>
              <w:lastRenderedPageBreak/>
              <w:t>加工过程控制要求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16</w:t>
            </w:r>
            <w:r>
              <w:rPr>
                <w:sz w:val="21"/>
              </w:rPr>
              <w:t>．应采取措施确保使用的原辅料符合国家有关规定和相关标准的要求。肉类原料来源渠道合法，猪、牛、羊肉能够提供肉制品检验、检疫合格证明，及猪瘟检验合格证明。不得使用过期的、失效的、变质的、污秽不洁的、回收的、受污染的原材料或非食品用原辅料生产食品。</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1131"/>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ascii="Calibri" w:hAnsi="Calibri"/>
                <w:kern w:val="2"/>
                <w:sz w:val="21"/>
              </w:rPr>
              <w:t>17</w:t>
            </w:r>
            <w:r>
              <w:rPr>
                <w:rFonts w:ascii="Calibri" w:hAnsi="Calibri"/>
                <w:kern w:val="2"/>
                <w:sz w:val="21"/>
              </w:rPr>
              <w:t>．</w:t>
            </w:r>
            <w:r>
              <w:rPr>
                <w:sz w:val="21"/>
              </w:rPr>
              <w:t>应符合《中华人民共和国食品安全法》、《内蒙古自治区食品小作坊小餐饮店小食杂店和食品摊贩条例》等规定要求，</w:t>
            </w:r>
            <w:r>
              <w:rPr>
                <w:sz w:val="21"/>
              </w:rPr>
              <w:t xml:space="preserve"> </w:t>
            </w:r>
            <w:r>
              <w:rPr>
                <w:sz w:val="21"/>
              </w:rPr>
              <w:t>按照确定的生产工艺程序进行食品生产，加强加工过程控制，并采取有效措施控制食品热处理时间、温度，保证半成品存储及成品包装环境卫生。</w:t>
            </w:r>
          </w:p>
        </w:tc>
        <w:tc>
          <w:tcPr>
            <w:tcW w:w="1479"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after="24"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98"/>
            </w:pPr>
            <w:r>
              <w:rPr>
                <w:sz w:val="21"/>
              </w:rPr>
              <w:t>工作人员要求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18</w:t>
            </w:r>
            <w:r>
              <w:rPr>
                <w:sz w:val="21"/>
              </w:rPr>
              <w:t>．应当取得健康证明后方可上岗，并每年至少体检</w:t>
            </w:r>
            <w:r>
              <w:rPr>
                <w:rFonts w:eastAsia="Times New Roman"/>
                <w:sz w:val="21"/>
              </w:rPr>
              <w:t>1</w:t>
            </w:r>
            <w:r>
              <w:rPr>
                <w:sz w:val="21"/>
              </w:rPr>
              <w:t>次。保持个人整洁，不留长指甲、不涂指甲油、不佩戴外露饰品。</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19</w:t>
            </w:r>
            <w:r>
              <w:rPr>
                <w:sz w:val="21"/>
              </w:rPr>
              <w:t>．在加工场所内应禁止吸烟和吐痰。在食品加工操作时应穿戴洁净统一的工作衣、帽，头发应置于帽内。</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7" w:type="dxa"/>
            <w:right w:w="4" w:type="dxa"/>
          </w:tblCellMar>
        </w:tblPrEx>
        <w:trPr>
          <w:trHeight w:val="569"/>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pPr>
            <w:r>
              <w:rPr>
                <w:rFonts w:eastAsia="Times New Roman"/>
                <w:sz w:val="21"/>
              </w:rPr>
              <w:t>20</w:t>
            </w:r>
            <w:r>
              <w:rPr>
                <w:sz w:val="21"/>
              </w:rPr>
              <w:t>．生产经营负责人和主要生产人员应学习和熟悉食品安全相关法律法规和标准知识，应接</w:t>
            </w:r>
            <w:proofErr w:type="gramStart"/>
            <w:r>
              <w:rPr>
                <w:sz w:val="21"/>
              </w:rPr>
              <w:t>受食品</w:t>
            </w:r>
            <w:proofErr w:type="gramEnd"/>
            <w:r>
              <w:rPr>
                <w:sz w:val="21"/>
              </w:rPr>
              <w:t>安全相关培训</w:t>
            </w:r>
            <w:r>
              <w:rPr>
                <w:sz w:val="21"/>
              </w:rPr>
              <w:t xml:space="preserve"> </w:t>
            </w:r>
            <w:r>
              <w:rPr>
                <w:sz w:val="21"/>
              </w:rPr>
              <w:t>能够明确知晓食品安全主体责任。</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pPr>
            <w:r>
              <w:rPr>
                <w:sz w:val="21"/>
              </w:rPr>
              <w:t xml:space="preserve">□ </w:t>
            </w:r>
            <w:r>
              <w:rPr>
                <w:sz w:val="21"/>
              </w:rPr>
              <w:t>符合</w:t>
            </w:r>
          </w:p>
          <w:p w:rsidR="004B482F" w:rsidRDefault="004B482F" w:rsidP="005E37C8">
            <w:pPr>
              <w:spacing w:line="259" w:lineRule="auto"/>
            </w:pPr>
            <w:r>
              <w:rPr>
                <w:sz w:val="21"/>
              </w:rPr>
              <w:t xml:space="preserve">□ </w:t>
            </w:r>
            <w:r>
              <w:rPr>
                <w:sz w:val="21"/>
              </w:rP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jc w:val="center"/>
            </w:pPr>
            <w:r>
              <w:rPr>
                <w:sz w:val="21"/>
              </w:rPr>
              <w:t>质量安全管理要求</w:t>
            </w:r>
          </w:p>
        </w:tc>
        <w:tc>
          <w:tcPr>
            <w:tcW w:w="7814"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108"/>
            </w:pPr>
            <w:r>
              <w:rPr>
                <w:rFonts w:eastAsia="Times New Roman"/>
                <w:sz w:val="21"/>
              </w:rPr>
              <w:t>21</w:t>
            </w:r>
            <w:r>
              <w:rPr>
                <w:sz w:val="21"/>
              </w:rPr>
              <w:t>．应实施质量安全承诺制度，并向社会公开食品质量安全承诺书。</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22</w:t>
            </w:r>
            <w:r>
              <w:rPr>
                <w:sz w:val="21"/>
              </w:rPr>
              <w:t>．应完善食品安全管理制度、配备食品安全员，严格落实</w:t>
            </w:r>
            <w:r>
              <w:rPr>
                <w:sz w:val="21"/>
              </w:rPr>
              <w:t>“</w:t>
            </w:r>
            <w:r>
              <w:rPr>
                <w:sz w:val="21"/>
              </w:rPr>
              <w:t>日管控、周排查、月调度</w:t>
            </w:r>
            <w:r>
              <w:rPr>
                <w:sz w:val="21"/>
              </w:rPr>
              <w:t>”</w:t>
            </w:r>
            <w:r>
              <w:rPr>
                <w:sz w:val="21"/>
              </w:rPr>
              <w:t>工作制度。</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23</w:t>
            </w:r>
            <w:r>
              <w:rPr>
                <w:sz w:val="21"/>
              </w:rPr>
              <w:t>．应建立管理台账，包括原料进货来源及相关信息、各类食品添加剂使用详细记录、产品送检抽检情况和产品销售情况等台帐。记录应保存</w:t>
            </w:r>
            <w:r>
              <w:rPr>
                <w:rFonts w:eastAsia="Times New Roman"/>
                <w:sz w:val="21"/>
              </w:rPr>
              <w:t>2</w:t>
            </w:r>
            <w:r>
              <w:rPr>
                <w:sz w:val="21"/>
              </w:rPr>
              <w:t>年以上。</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108"/>
            </w:pPr>
            <w:r>
              <w:rPr>
                <w:rFonts w:eastAsia="Times New Roman"/>
                <w:sz w:val="21"/>
              </w:rPr>
              <w:t>24</w:t>
            </w:r>
            <w:r>
              <w:rPr>
                <w:sz w:val="21"/>
              </w:rPr>
              <w:t>．应建立食品添加剂使用明示制度。</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25</w:t>
            </w:r>
            <w:r>
              <w:rPr>
                <w:sz w:val="21"/>
              </w:rPr>
              <w:t>．应进行产前自查，保证生产加工场所、设备、原料、人员、包装、贮存与运输等各方面的情况符合相关规定。生产加工完毕后应进行清场。</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jc w:val="center"/>
            </w:pPr>
            <w:r>
              <w:rPr>
                <w:sz w:val="21"/>
              </w:rPr>
              <w:t>包装、贮存、运输与标识要求</w:t>
            </w: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26</w:t>
            </w:r>
            <w:r>
              <w:rPr>
                <w:sz w:val="21"/>
              </w:rPr>
              <w:t>．所加工食品应有简易外包装。必须使用食品用包装材料和容器包装食品，包装材料应保持清洁卫生，不得对食品造成污染。</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108"/>
            </w:pPr>
            <w:r>
              <w:rPr>
                <w:rFonts w:eastAsia="Times New Roman"/>
                <w:sz w:val="21"/>
              </w:rPr>
              <w:t>27</w:t>
            </w:r>
            <w:r>
              <w:rPr>
                <w:sz w:val="21"/>
              </w:rPr>
              <w:t>．贮存食品的场所应保持整洁卫生，场所内不得存放影响产品质量安全的物品。</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28</w:t>
            </w:r>
            <w:r>
              <w:rPr>
                <w:sz w:val="21"/>
              </w:rPr>
              <w:t>．应根据贮存食品的要求提供适应的温度和湿度等贮存条件。应采取有效措施确保贮存的食品不受污染。</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4"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571"/>
        </w:trPr>
        <w:tc>
          <w:tcPr>
            <w:tcW w:w="1672" w:type="dxa"/>
            <w:vMerge/>
            <w:tcBorders>
              <w:top w:val="nil"/>
              <w:left w:val="single" w:sz="4" w:space="0" w:color="000000"/>
              <w:bottom w:val="single" w:sz="4" w:space="0" w:color="000000"/>
              <w:right w:val="single" w:sz="4" w:space="0" w:color="000000"/>
            </w:tcBorders>
          </w:tcPr>
          <w:p w:rsidR="004B482F" w:rsidRDefault="004B482F" w:rsidP="005E37C8">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line="259" w:lineRule="auto"/>
              <w:ind w:left="108"/>
            </w:pPr>
            <w:r>
              <w:rPr>
                <w:rFonts w:eastAsia="Times New Roman"/>
                <w:sz w:val="21"/>
              </w:rPr>
              <w:t>29</w:t>
            </w:r>
            <w:r>
              <w:rPr>
                <w:sz w:val="21"/>
              </w:rPr>
              <w:t>．在简易外包装上，提供产品名称、生产地址、生产者、生产日期、保质期、联系电话等必要信息，使消费者能够正确地处理、使用、贮存食品。</w:t>
            </w:r>
          </w:p>
        </w:tc>
        <w:tc>
          <w:tcPr>
            <w:tcW w:w="1479" w:type="dxa"/>
            <w:tcBorders>
              <w:top w:val="single" w:sz="4" w:space="0" w:color="000000"/>
              <w:left w:val="single" w:sz="4" w:space="0" w:color="000000"/>
              <w:bottom w:val="single" w:sz="4" w:space="0" w:color="000000"/>
              <w:right w:val="single" w:sz="4" w:space="0" w:color="000000"/>
            </w:tcBorders>
          </w:tcPr>
          <w:p w:rsidR="004B482F" w:rsidRDefault="004B482F" w:rsidP="005E37C8">
            <w:pPr>
              <w:spacing w:after="27" w:line="259" w:lineRule="auto"/>
              <w:ind w:left="108"/>
            </w:pPr>
            <w:r>
              <w:rPr>
                <w:sz w:val="21"/>
              </w:rPr>
              <w:t xml:space="preserve">□ </w:t>
            </w:r>
            <w:r>
              <w:rPr>
                <w:sz w:val="21"/>
              </w:rPr>
              <w:t>符合</w:t>
            </w:r>
          </w:p>
          <w:p w:rsidR="004B482F" w:rsidRDefault="004B482F" w:rsidP="005E37C8">
            <w:pPr>
              <w:spacing w:line="259" w:lineRule="auto"/>
              <w:ind w:left="108"/>
            </w:pPr>
            <w:r>
              <w:rPr>
                <w:sz w:val="21"/>
              </w:rPr>
              <w:t xml:space="preserve">□ </w:t>
            </w:r>
            <w:r>
              <w:rPr>
                <w:sz w:val="21"/>
              </w:rPr>
              <w:t>不符合</w:t>
            </w:r>
          </w:p>
        </w:tc>
        <w:tc>
          <w:tcPr>
            <w:tcW w:w="240" w:type="dxa"/>
            <w:tcBorders>
              <w:top w:val="single" w:sz="4" w:space="0" w:color="000000"/>
              <w:left w:val="single" w:sz="4" w:space="0" w:color="000000"/>
              <w:bottom w:val="single" w:sz="4" w:space="0" w:color="000000"/>
              <w:right w:val="nil"/>
            </w:tcBorders>
            <w:vAlign w:val="bottom"/>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r w:rsidR="004B482F" w:rsidTr="005E37C8">
        <w:tblPrEx>
          <w:tblCellMar>
            <w:top w:w="48" w:type="dxa"/>
            <w:left w:w="0" w:type="dxa"/>
            <w:bottom w:w="32" w:type="dxa"/>
            <w:right w:w="7" w:type="dxa"/>
          </w:tblCellMar>
        </w:tblPrEx>
        <w:trPr>
          <w:trHeight w:val="1680"/>
        </w:trPr>
        <w:tc>
          <w:tcPr>
            <w:tcW w:w="1672"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206"/>
            </w:pPr>
            <w:r>
              <w:rPr>
                <w:sz w:val="21"/>
              </w:rPr>
              <w:t>验收情况汇总</w:t>
            </w:r>
          </w:p>
        </w:tc>
        <w:tc>
          <w:tcPr>
            <w:tcW w:w="9533" w:type="dxa"/>
            <w:gridSpan w:val="3"/>
            <w:tcBorders>
              <w:top w:val="single" w:sz="4" w:space="0" w:color="000000"/>
              <w:left w:val="single" w:sz="4" w:space="0" w:color="000000"/>
              <w:bottom w:val="single" w:sz="4" w:space="0" w:color="000000"/>
              <w:right w:val="nil"/>
            </w:tcBorders>
            <w:vAlign w:val="bottom"/>
          </w:tcPr>
          <w:p w:rsidR="004B482F" w:rsidRDefault="004B482F" w:rsidP="005E37C8">
            <w:pPr>
              <w:spacing w:after="363" w:line="282" w:lineRule="auto"/>
              <w:ind w:left="108" w:right="989"/>
            </w:pPr>
          </w:p>
          <w:p w:rsidR="004B482F" w:rsidRDefault="004B482F" w:rsidP="005E37C8">
            <w:pPr>
              <w:spacing w:after="363" w:line="282" w:lineRule="auto"/>
              <w:ind w:left="108" w:right="989"/>
            </w:pPr>
            <w:r>
              <w:rPr>
                <w:sz w:val="21"/>
              </w:rPr>
              <w:t>验收人员（</w:t>
            </w:r>
            <w:r>
              <w:rPr>
                <w:sz w:val="21"/>
              </w:rPr>
              <w:t xml:space="preserve"> </w:t>
            </w:r>
            <w:r>
              <w:rPr>
                <w:sz w:val="21"/>
              </w:rPr>
              <w:t>不少于</w:t>
            </w:r>
            <w:r>
              <w:rPr>
                <w:sz w:val="21"/>
              </w:rPr>
              <w:t xml:space="preserve"> </w:t>
            </w:r>
            <w:r>
              <w:rPr>
                <w:rFonts w:eastAsia="Times New Roman"/>
                <w:sz w:val="21"/>
              </w:rPr>
              <w:t xml:space="preserve">2 </w:t>
            </w:r>
            <w:r>
              <w:rPr>
                <w:sz w:val="21"/>
              </w:rPr>
              <w:t>人）：</w:t>
            </w:r>
            <w:r>
              <w:rPr>
                <w:sz w:val="21"/>
              </w:rPr>
              <w:tab/>
            </w:r>
            <w:r>
              <w:rPr>
                <w:rFonts w:hint="eastAsia"/>
                <w:sz w:val="21"/>
              </w:rPr>
              <w:t xml:space="preserve">                         </w:t>
            </w:r>
            <w:r>
              <w:rPr>
                <w:sz w:val="21"/>
              </w:rPr>
              <w:t>验收时间：</w:t>
            </w:r>
            <w:r>
              <w:rPr>
                <w:rFonts w:eastAsia="Times New Roman"/>
                <w:sz w:val="21"/>
              </w:rPr>
              <w:t>2024</w:t>
            </w:r>
            <w:r>
              <w:rPr>
                <w:sz w:val="21"/>
              </w:rPr>
              <w:t>年</w:t>
            </w:r>
            <w:r>
              <w:rPr>
                <w:sz w:val="21"/>
              </w:rPr>
              <w:tab/>
            </w:r>
            <w:r>
              <w:rPr>
                <w:sz w:val="21"/>
              </w:rPr>
              <w:t>月</w:t>
            </w:r>
            <w:r>
              <w:rPr>
                <w:sz w:val="21"/>
              </w:rPr>
              <w:tab/>
            </w:r>
            <w:r>
              <w:rPr>
                <w:sz w:val="21"/>
              </w:rPr>
              <w:t>日</w:t>
            </w:r>
          </w:p>
          <w:p w:rsidR="004B482F" w:rsidRDefault="004B482F" w:rsidP="005E37C8">
            <w:pPr>
              <w:spacing w:after="363" w:line="282" w:lineRule="auto"/>
              <w:ind w:left="108" w:right="989"/>
            </w:pPr>
            <w:r>
              <w:rPr>
                <w:sz w:val="21"/>
              </w:rPr>
              <w:t>验收结果：</w:t>
            </w:r>
            <w:r>
              <w:rPr>
                <w:sz w:val="21"/>
              </w:rPr>
              <w:t xml:space="preserve"> </w:t>
            </w:r>
            <w:r>
              <w:rPr>
                <w:sz w:val="21"/>
              </w:rPr>
              <w:t>全部符合为通过</w:t>
            </w:r>
          </w:p>
          <w:p w:rsidR="004B482F" w:rsidRDefault="004B482F" w:rsidP="005E37C8">
            <w:pPr>
              <w:tabs>
                <w:tab w:val="center" w:pos="5710"/>
                <w:tab w:val="right" w:pos="9410"/>
              </w:tabs>
              <w:spacing w:line="259" w:lineRule="auto"/>
            </w:pPr>
            <w:r>
              <w:rPr>
                <w:sz w:val="21"/>
              </w:rPr>
              <w:t>当事人：</w:t>
            </w:r>
            <w:r>
              <w:rPr>
                <w:sz w:val="21"/>
              </w:rPr>
              <w:tab/>
            </w:r>
            <w:r>
              <w:rPr>
                <w:sz w:val="21"/>
              </w:rPr>
              <w:t>现场检查日期：</w:t>
            </w:r>
          </w:p>
        </w:tc>
        <w:tc>
          <w:tcPr>
            <w:tcW w:w="1689" w:type="dxa"/>
            <w:tcBorders>
              <w:top w:val="single" w:sz="4" w:space="0" w:color="000000"/>
              <w:left w:val="nil"/>
              <w:bottom w:val="single" w:sz="4" w:space="0" w:color="000000"/>
              <w:right w:val="single" w:sz="4" w:space="0" w:color="000000"/>
            </w:tcBorders>
            <w:vAlign w:val="bottom"/>
          </w:tcPr>
          <w:p w:rsidR="004B482F" w:rsidRDefault="004B482F" w:rsidP="005E37C8">
            <w:pPr>
              <w:tabs>
                <w:tab w:val="center" w:pos="541"/>
                <w:tab w:val="center" w:pos="1067"/>
                <w:tab w:val="right" w:pos="1798"/>
              </w:tabs>
              <w:spacing w:line="259" w:lineRule="auto"/>
            </w:pPr>
            <w:r>
              <w:rPr>
                <w:sz w:val="21"/>
              </w:rPr>
              <w:t>年</w:t>
            </w:r>
            <w:r>
              <w:rPr>
                <w:sz w:val="21"/>
              </w:rPr>
              <w:tab/>
            </w:r>
            <w:r>
              <w:rPr>
                <w:sz w:val="21"/>
              </w:rPr>
              <w:t>月</w:t>
            </w:r>
            <w:r>
              <w:rPr>
                <w:sz w:val="21"/>
              </w:rPr>
              <w:tab/>
            </w:r>
            <w:r>
              <w:rPr>
                <w:sz w:val="21"/>
              </w:rPr>
              <w:t>日</w:t>
            </w:r>
          </w:p>
        </w:tc>
      </w:tr>
      <w:tr w:rsidR="004B482F" w:rsidTr="005E37C8">
        <w:tblPrEx>
          <w:tblCellMar>
            <w:top w:w="48" w:type="dxa"/>
            <w:left w:w="0" w:type="dxa"/>
            <w:bottom w:w="32" w:type="dxa"/>
            <w:right w:w="7" w:type="dxa"/>
          </w:tblCellMar>
        </w:tblPrEx>
        <w:trPr>
          <w:trHeight w:val="1043"/>
        </w:trPr>
        <w:tc>
          <w:tcPr>
            <w:tcW w:w="1672" w:type="dxa"/>
            <w:tcBorders>
              <w:top w:val="single" w:sz="4" w:space="0" w:color="000000"/>
              <w:left w:val="single" w:sz="4" w:space="0" w:color="000000"/>
              <w:bottom w:val="single" w:sz="4" w:space="0" w:color="000000"/>
              <w:right w:val="single" w:sz="4" w:space="0" w:color="000000"/>
            </w:tcBorders>
            <w:vAlign w:val="center"/>
          </w:tcPr>
          <w:p w:rsidR="004B482F" w:rsidRDefault="004B482F" w:rsidP="005E37C8">
            <w:pPr>
              <w:spacing w:line="259" w:lineRule="auto"/>
              <w:ind w:left="415"/>
            </w:pPr>
            <w:r>
              <w:rPr>
                <w:sz w:val="21"/>
              </w:rPr>
              <w:t>验收结论</w:t>
            </w:r>
          </w:p>
        </w:tc>
        <w:tc>
          <w:tcPr>
            <w:tcW w:w="9533" w:type="dxa"/>
            <w:gridSpan w:val="3"/>
            <w:tcBorders>
              <w:top w:val="single" w:sz="4" w:space="0" w:color="000000"/>
              <w:left w:val="single" w:sz="4" w:space="0" w:color="000000"/>
              <w:bottom w:val="single" w:sz="4" w:space="0" w:color="000000"/>
              <w:right w:val="nil"/>
            </w:tcBorders>
          </w:tcPr>
          <w:p w:rsidR="004B482F" w:rsidRDefault="004B482F" w:rsidP="005E37C8">
            <w:pPr>
              <w:spacing w:after="160" w:line="259" w:lineRule="auto"/>
            </w:pPr>
          </w:p>
        </w:tc>
        <w:tc>
          <w:tcPr>
            <w:tcW w:w="1689" w:type="dxa"/>
            <w:tcBorders>
              <w:top w:val="single" w:sz="4" w:space="0" w:color="000000"/>
              <w:left w:val="nil"/>
              <w:bottom w:val="single" w:sz="4" w:space="0" w:color="000000"/>
              <w:right w:val="single" w:sz="4" w:space="0" w:color="000000"/>
            </w:tcBorders>
          </w:tcPr>
          <w:p w:rsidR="004B482F" w:rsidRDefault="004B482F" w:rsidP="005E37C8">
            <w:pPr>
              <w:spacing w:after="160" w:line="259" w:lineRule="auto"/>
            </w:pPr>
          </w:p>
        </w:tc>
      </w:tr>
    </w:tbl>
    <w:p w:rsidR="009E5651" w:rsidRDefault="009E5651"/>
    <w:sectPr w:rsidR="009E5651" w:rsidSect="004B482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75" w:rsidRDefault="00695B75" w:rsidP="004B482F">
      <w:r>
        <w:separator/>
      </w:r>
    </w:p>
  </w:endnote>
  <w:endnote w:type="continuationSeparator" w:id="0">
    <w:p w:rsidR="00695B75" w:rsidRDefault="00695B75" w:rsidP="004B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75" w:rsidRDefault="00695B75" w:rsidP="004B482F">
      <w:r>
        <w:separator/>
      </w:r>
    </w:p>
  </w:footnote>
  <w:footnote w:type="continuationSeparator" w:id="0">
    <w:p w:rsidR="00695B75" w:rsidRDefault="00695B75" w:rsidP="004B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4C"/>
    <w:rsid w:val="000A3AA1"/>
    <w:rsid w:val="004B482F"/>
    <w:rsid w:val="00695B75"/>
    <w:rsid w:val="009E5651"/>
    <w:rsid w:val="00DD1A08"/>
    <w:rsid w:val="00DD225C"/>
    <w:rsid w:val="00E60B4C"/>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4B482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48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482F"/>
    <w:rPr>
      <w:sz w:val="18"/>
      <w:szCs w:val="18"/>
    </w:rPr>
  </w:style>
  <w:style w:type="paragraph" w:styleId="a5">
    <w:name w:val="footer"/>
    <w:basedOn w:val="a"/>
    <w:link w:val="Char0"/>
    <w:uiPriority w:val="99"/>
    <w:unhideWhenUsed/>
    <w:rsid w:val="004B48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482F"/>
    <w:rPr>
      <w:sz w:val="18"/>
      <w:szCs w:val="18"/>
    </w:rPr>
  </w:style>
  <w:style w:type="paragraph" w:styleId="a6">
    <w:name w:val="Normal (Web)"/>
    <w:basedOn w:val="a"/>
    <w:uiPriority w:val="99"/>
    <w:qFormat/>
    <w:rsid w:val="004B482F"/>
    <w:pPr>
      <w:widowControl/>
      <w:spacing w:before="100" w:beforeAutospacing="1" w:after="100" w:afterAutospacing="1"/>
      <w:jc w:val="left"/>
    </w:pPr>
    <w:rPr>
      <w:rFonts w:ascii="宋体" w:hAnsi="宋体" w:cs="宋体"/>
      <w:kern w:val="0"/>
      <w:sz w:val="24"/>
    </w:rPr>
  </w:style>
  <w:style w:type="table" w:customStyle="1" w:styleId="TableGrid">
    <w:name w:val="TableGrid"/>
    <w:qFormat/>
    <w:rsid w:val="004B482F"/>
    <w:rPr>
      <w:kern w:val="0"/>
      <w:sz w:val="20"/>
      <w:szCs w:val="20"/>
    </w:rPr>
    <w:tblPr>
      <w:tblCellMar>
        <w:top w:w="0" w:type="dxa"/>
        <w:left w:w="0" w:type="dxa"/>
        <w:bottom w:w="0" w:type="dxa"/>
        <w:right w:w="0" w:type="dxa"/>
      </w:tblCellMar>
    </w:tblPr>
  </w:style>
  <w:style w:type="paragraph" w:styleId="a0">
    <w:name w:val="Body Text"/>
    <w:basedOn w:val="a"/>
    <w:link w:val="Char1"/>
    <w:uiPriority w:val="99"/>
    <w:semiHidden/>
    <w:unhideWhenUsed/>
    <w:rsid w:val="004B482F"/>
    <w:pPr>
      <w:spacing w:after="120"/>
    </w:pPr>
  </w:style>
  <w:style w:type="character" w:customStyle="1" w:styleId="Char1">
    <w:name w:val="正文文本 Char"/>
    <w:basedOn w:val="a1"/>
    <w:link w:val="a0"/>
    <w:uiPriority w:val="99"/>
    <w:semiHidden/>
    <w:rsid w:val="004B482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4B482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48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482F"/>
    <w:rPr>
      <w:sz w:val="18"/>
      <w:szCs w:val="18"/>
    </w:rPr>
  </w:style>
  <w:style w:type="paragraph" w:styleId="a5">
    <w:name w:val="footer"/>
    <w:basedOn w:val="a"/>
    <w:link w:val="Char0"/>
    <w:uiPriority w:val="99"/>
    <w:unhideWhenUsed/>
    <w:rsid w:val="004B48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482F"/>
    <w:rPr>
      <w:sz w:val="18"/>
      <w:szCs w:val="18"/>
    </w:rPr>
  </w:style>
  <w:style w:type="paragraph" w:styleId="a6">
    <w:name w:val="Normal (Web)"/>
    <w:basedOn w:val="a"/>
    <w:uiPriority w:val="99"/>
    <w:qFormat/>
    <w:rsid w:val="004B482F"/>
    <w:pPr>
      <w:widowControl/>
      <w:spacing w:before="100" w:beforeAutospacing="1" w:after="100" w:afterAutospacing="1"/>
      <w:jc w:val="left"/>
    </w:pPr>
    <w:rPr>
      <w:rFonts w:ascii="宋体" w:hAnsi="宋体" w:cs="宋体"/>
      <w:kern w:val="0"/>
      <w:sz w:val="24"/>
    </w:rPr>
  </w:style>
  <w:style w:type="table" w:customStyle="1" w:styleId="TableGrid">
    <w:name w:val="TableGrid"/>
    <w:qFormat/>
    <w:rsid w:val="004B482F"/>
    <w:rPr>
      <w:kern w:val="0"/>
      <w:sz w:val="20"/>
      <w:szCs w:val="20"/>
    </w:rPr>
    <w:tblPr>
      <w:tblCellMar>
        <w:top w:w="0" w:type="dxa"/>
        <w:left w:w="0" w:type="dxa"/>
        <w:bottom w:w="0" w:type="dxa"/>
        <w:right w:w="0" w:type="dxa"/>
      </w:tblCellMar>
    </w:tblPr>
  </w:style>
  <w:style w:type="paragraph" w:styleId="a0">
    <w:name w:val="Body Text"/>
    <w:basedOn w:val="a"/>
    <w:link w:val="Char1"/>
    <w:uiPriority w:val="99"/>
    <w:semiHidden/>
    <w:unhideWhenUsed/>
    <w:rsid w:val="004B482F"/>
    <w:pPr>
      <w:spacing w:after="120"/>
    </w:pPr>
  </w:style>
  <w:style w:type="character" w:customStyle="1" w:styleId="Char1">
    <w:name w:val="正文文本 Char"/>
    <w:basedOn w:val="a1"/>
    <w:link w:val="a0"/>
    <w:uiPriority w:val="99"/>
    <w:semiHidden/>
    <w:rsid w:val="004B482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2026-05-16T07:46:00Z</dcterms:created>
  <dcterms:modified xsi:type="dcterms:W3CDTF">2026-05-16T07:46:00Z</dcterms:modified>
</cp:coreProperties>
</file>